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jc w:val="center"/>
        <w:ind w:right="-17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6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8-K</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3"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u w:val="single" w:color="auto"/>
          <w:color w:val="auto"/>
        </w:rPr>
        <w:t>December 21, 2021</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u w:val="single" w:color="auto"/>
          <w:color w:val="auto"/>
        </w:rPr>
        <w:t>FLEXSTEEL INDUSTRIES, INC.</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71"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Minnesota</w:t>
            </w:r>
          </w:p>
        </w:tc>
        <w:tc>
          <w:tcPr>
            <w:tcW w:w="1260" w:type="dxa"/>
            <w:vAlign w:val="bottom"/>
            <w:gridSpan w:val="2"/>
          </w:tcPr>
          <w:p>
            <w:pPr>
              <w:spacing w:after="0"/>
              <w:rPr>
                <w:sz w:val="17"/>
                <w:szCs w:val="17"/>
                <w:color w:val="auto"/>
              </w:rPr>
            </w:pPr>
          </w:p>
        </w:tc>
        <w:tc>
          <w:tcPr>
            <w:tcW w:w="1840" w:type="dxa"/>
            <w:vAlign w:val="bottom"/>
            <w:gridSpan w:val="4"/>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0-5151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42-0442319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4"/>
                <w:szCs w:val="14"/>
                <w:color w:val="auto"/>
                <w:w w:val="96"/>
              </w:rPr>
              <w:t>(State or other</w:t>
            </w:r>
          </w:p>
        </w:tc>
        <w:tc>
          <w:tcPr>
            <w:tcW w:w="760" w:type="dxa"/>
            <w:vAlign w:val="bottom"/>
          </w:tcPr>
          <w:p>
            <w:pPr>
              <w:spacing w:after="0" w:line="142" w:lineRule="exact"/>
              <w:rPr>
                <w:sz w:val="20"/>
                <w:szCs w:val="20"/>
                <w:color w:val="auto"/>
              </w:rPr>
            </w:pPr>
            <w:r>
              <w:rPr>
                <w:rFonts w:ascii="Arial" w:cs="Arial" w:eastAsia="Arial" w:hAnsi="Arial"/>
                <w:sz w:val="14"/>
                <w:szCs w:val="14"/>
                <w:color w:val="auto"/>
                <w:w w:val="90"/>
              </w:rPr>
              <w:t>jurisdiction of</w:t>
            </w: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incorporation)</w:t>
            </w:r>
          </w:p>
        </w:tc>
        <w:tc>
          <w:tcPr>
            <w:tcW w:w="500" w:type="dxa"/>
            <w:vAlign w:val="bottom"/>
          </w:tcPr>
          <w:p>
            <w:pPr>
              <w:spacing w:after="0"/>
              <w:rPr>
                <w:sz w:val="12"/>
                <w:szCs w:val="12"/>
                <w:color w:val="auto"/>
              </w:rPr>
            </w:pPr>
          </w:p>
        </w:tc>
        <w:tc>
          <w:tcPr>
            <w:tcW w:w="1860" w:type="dxa"/>
            <w:vAlign w:val="bottom"/>
            <w:gridSpan w:val="4"/>
          </w:tcPr>
          <w:p>
            <w:pPr>
              <w:ind w:left="800"/>
              <w:spacing w:after="0" w:line="142" w:lineRule="exact"/>
              <w:rPr>
                <w:sz w:val="20"/>
                <w:szCs w:val="20"/>
                <w:color w:val="auto"/>
              </w:rPr>
            </w:pPr>
            <w:r>
              <w:rPr>
                <w:rFonts w:ascii="Arial" w:cs="Arial" w:eastAsia="Arial" w:hAnsi="Arial"/>
                <w:sz w:val="14"/>
                <w:szCs w:val="14"/>
                <w:color w:val="auto"/>
                <w:w w:val="96"/>
              </w:rPr>
              <w:t>(Commission File</w:t>
            </w:r>
          </w:p>
        </w:tc>
        <w:tc>
          <w:tcPr>
            <w:tcW w:w="2500" w:type="dxa"/>
            <w:vAlign w:val="bottom"/>
            <w:gridSpan w:val="5"/>
          </w:tcPr>
          <w:p>
            <w:pPr>
              <w:ind w:left="20"/>
              <w:spacing w:after="0" w:line="142" w:lineRule="exact"/>
              <w:rPr>
                <w:sz w:val="20"/>
                <w:szCs w:val="20"/>
                <w:color w:val="auto"/>
              </w:rPr>
            </w:pPr>
            <w:r>
              <w:rPr>
                <w:rFonts w:ascii="Arial" w:cs="Arial" w:eastAsia="Arial" w:hAnsi="Arial"/>
                <w:sz w:val="14"/>
                <w:szCs w:val="14"/>
                <w:color w:val="auto"/>
              </w:rPr>
              <w:t>Number)</w:t>
            </w:r>
          </w:p>
        </w:tc>
        <w:tc>
          <w:tcPr>
            <w:tcW w:w="19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60" w:type="dxa"/>
            <w:vAlign w:val="bottom"/>
            <w:gridSpan w:val="9"/>
          </w:tcPr>
          <w:p>
            <w:pPr>
              <w:jc w:val="center"/>
              <w:ind w:right="1160"/>
              <w:spacing w:after="0"/>
              <w:rPr>
                <w:sz w:val="20"/>
                <w:szCs w:val="20"/>
                <w:color w:val="auto"/>
              </w:rPr>
            </w:pPr>
            <w:r>
              <w:rPr>
                <w:rFonts w:ascii="Arial" w:cs="Arial" w:eastAsia="Arial" w:hAnsi="Arial"/>
                <w:sz w:val="18"/>
                <w:szCs w:val="18"/>
                <w:color w:val="auto"/>
                <w:w w:val="91"/>
              </w:rPr>
              <w:t>385 Bell Street, Dubuque, Iowa 52001-0877</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280" w:type="dxa"/>
            <w:vAlign w:val="bottom"/>
            <w:gridSpan w:val="6"/>
          </w:tcPr>
          <w:p>
            <w:pPr>
              <w:spacing w:after="0"/>
              <w:rPr>
                <w:sz w:val="20"/>
                <w:szCs w:val="20"/>
                <w:color w:val="auto"/>
              </w:rPr>
            </w:pPr>
            <w:r>
              <w:rPr>
                <w:rFonts w:ascii="Arial" w:cs="Arial" w:eastAsia="Arial" w:hAnsi="Arial"/>
                <w:sz w:val="14"/>
                <w:szCs w:val="14"/>
                <w:color w:val="auto"/>
                <w:w w:val="94"/>
              </w:rPr>
              <w:t>(Address of principal executive offices,</w:t>
            </w:r>
          </w:p>
        </w:tc>
        <w:tc>
          <w:tcPr>
            <w:tcW w:w="60" w:type="dxa"/>
            <w:vAlign w:val="bottom"/>
            <w:vMerge w:val="continue"/>
          </w:tcPr>
          <w:p>
            <w:pPr>
              <w:spacing w:after="0"/>
              <w:rPr>
                <w:sz w:val="15"/>
                <w:szCs w:val="15"/>
                <w:color w:val="auto"/>
              </w:rPr>
            </w:pPr>
          </w:p>
        </w:tc>
        <w:tc>
          <w:tcPr>
            <w:tcW w:w="2020" w:type="dxa"/>
            <w:vAlign w:val="bottom"/>
            <w:gridSpan w:val="2"/>
          </w:tcPr>
          <w:p>
            <w:pPr>
              <w:spacing w:after="0"/>
              <w:rPr>
                <w:sz w:val="20"/>
                <w:szCs w:val="20"/>
                <w:color w:val="auto"/>
              </w:rPr>
            </w:pPr>
            <w:r>
              <w:rPr>
                <w:rFonts w:ascii="Arial" w:cs="Arial" w:eastAsia="Arial" w:hAnsi="Arial"/>
                <w:sz w:val="14"/>
                <w:szCs w:val="14"/>
                <w:color w:val="auto"/>
              </w:rPr>
              <w:t>including zip code)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gridSpan w:val="6"/>
          </w:tcPr>
          <w:p>
            <w:pPr>
              <w:jc w:val="center"/>
              <w:ind w:left="1510"/>
              <w:spacing w:after="0"/>
              <w:rPr>
                <w:sz w:val="20"/>
                <w:szCs w:val="20"/>
                <w:color w:val="auto"/>
              </w:rPr>
            </w:pPr>
            <w:r>
              <w:rPr>
                <w:rFonts w:ascii="Arial" w:cs="Arial" w:eastAsia="Arial" w:hAnsi="Arial"/>
                <w:sz w:val="18"/>
                <w:szCs w:val="18"/>
                <w:color w:val="auto"/>
                <w:w w:val="90"/>
              </w:rPr>
              <w:t>563-556-7730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60" w:type="dxa"/>
            <w:vAlign w:val="bottom"/>
            <w:gridSpan w:val="9"/>
          </w:tcPr>
          <w:p>
            <w:pPr>
              <w:jc w:val="center"/>
              <w:ind w:right="1160"/>
              <w:spacing w:after="0"/>
              <w:rPr>
                <w:sz w:val="20"/>
                <w:szCs w:val="20"/>
                <w:color w:val="auto"/>
              </w:rPr>
            </w:pPr>
            <w:r>
              <w:rPr>
                <w:rFonts w:ascii="Arial" w:cs="Arial" w:eastAsia="Arial" w:hAnsi="Arial"/>
                <w:sz w:val="14"/>
                <w:szCs w:val="14"/>
                <w:color w:val="auto"/>
                <w:w w:val="92"/>
              </w:rPr>
              <w:t>(Registrant’s telephone number, including area code)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9" w:lineRule="exact"/>
        <w:rPr>
          <w:sz w:val="24"/>
          <w:szCs w:val="24"/>
          <w:color w:val="auto"/>
        </w:rPr>
      </w:pPr>
    </w:p>
    <w:p>
      <w:pPr>
        <w:ind w:right="5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ectPr>
          <w:pgSz w:w="11900" w:h="16838" w:orient="portrait"/>
          <w:cols w:equalWidth="0" w:num="1">
            <w:col w:w="11080"/>
          </w:cols>
          <w:pgMar w:left="320" w:top="216" w:right="499" w:bottom="1440" w:gutter="0" w:footer="0" w:header="0"/>
        </w:sectPr>
      </w:pPr>
    </w:p>
    <w:p>
      <w:pPr>
        <w:spacing w:after="0" w:line="33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85" w:lineRule="exact"/>
        <w:rPr>
          <w:sz w:val="24"/>
          <w:szCs w:val="24"/>
          <w:color w:val="auto"/>
        </w:rPr>
      </w:pPr>
    </w:p>
    <w:p>
      <w:pPr>
        <w:sectPr>
          <w:pgSz w:w="11900" w:h="16838" w:orient="portrait"/>
          <w:cols w:equalWidth="0" w:num="2">
            <w:col w:w="860" w:space="140"/>
            <w:col w:w="10080"/>
          </w:cols>
          <w:pgMar w:left="320" w:top="216" w:right="49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Soliciting material pursuant to Rule 14a-12 under the Exchange Act (17 CFR 240.14a-12)</w:t>
      </w:r>
    </w:p>
    <w:p>
      <w:pPr>
        <w:spacing w:after="0" w:line="45" w:lineRule="exact"/>
        <w:rPr>
          <w:sz w:val="24"/>
          <w:szCs w:val="24"/>
          <w:color w:val="auto"/>
        </w:rPr>
      </w:pPr>
    </w:p>
    <w:p>
      <w:pPr>
        <w:sectPr>
          <w:pgSz w:w="11900" w:h="16838" w:orient="portrait"/>
          <w:cols w:equalWidth="0" w:num="2">
            <w:col w:w="860" w:space="140"/>
            <w:col w:w="10080"/>
          </w:cols>
          <w:pgMar w:left="320" w:top="216" w:right="499" w:bottom="1440" w:gutter="0" w:footer="0" w:header="0"/>
          <w:type w:val="continuous"/>
        </w:sectPr>
      </w:pPr>
    </w:p>
    <w:p>
      <w:pPr>
        <w:ind w:left="1020" w:right="3720" w:hanging="364"/>
        <w:spacing w:after="0" w:line="266" w:lineRule="auto"/>
        <w:tabs>
          <w:tab w:leader="none" w:pos="81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ind w:left="1020" w:right="3740" w:hanging="364"/>
        <w:spacing w:after="0" w:line="245" w:lineRule="auto"/>
        <w:tabs>
          <w:tab w:leader="none" w:pos="81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3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60"/>
        <w:spacing w:after="0" w:line="207" w:lineRule="exact"/>
        <w:tabs>
          <w:tab w:leader="none" w:pos="2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3" w:lineRule="exact"/>
        <w:rPr>
          <w:sz w:val="24"/>
          <w:szCs w:val="24"/>
          <w:color w:val="auto"/>
        </w:rPr>
      </w:pPr>
    </w:p>
    <w:tbl>
      <w:tblPr>
        <w:tblLayout w:type="fixed"/>
        <w:tblInd w:w="940" w:type="dxa"/>
        <w:tblCellMar>
          <w:top w:w="0" w:type="dxa"/>
          <w:left w:w="0" w:type="dxa"/>
          <w:bottom w:w="0" w:type="dxa"/>
          <w:right w:w="0" w:type="dxa"/>
        </w:tblCellMar>
      </w:tblPr>
      <w:tr>
        <w:trPr>
          <w:trHeight w:val="162"/>
        </w:trPr>
        <w:tc>
          <w:tcPr>
            <w:tcW w:w="3020" w:type="dxa"/>
            <w:vAlign w:val="bottom"/>
          </w:tcPr>
          <w:p>
            <w:pPr>
              <w:jc w:val="center"/>
              <w:ind w:right="1068"/>
              <w:spacing w:after="0"/>
              <w:rPr>
                <w:sz w:val="20"/>
                <w:szCs w:val="20"/>
                <w:color w:val="auto"/>
              </w:rPr>
            </w:pPr>
            <w:r>
              <w:rPr>
                <w:rFonts w:ascii="Arial" w:cs="Arial" w:eastAsia="Arial" w:hAnsi="Arial"/>
                <w:sz w:val="14"/>
                <w:szCs w:val="14"/>
                <w:color w:val="auto"/>
                <w:w w:val="92"/>
              </w:rPr>
              <w:t>Title of each class</w:t>
            </w:r>
          </w:p>
        </w:tc>
        <w:tc>
          <w:tcPr>
            <w:tcW w:w="3180" w:type="dxa"/>
            <w:vAlign w:val="bottom"/>
          </w:tcPr>
          <w:p>
            <w:pPr>
              <w:jc w:val="center"/>
              <w:ind w:left="68"/>
              <w:spacing w:after="0"/>
              <w:rPr>
                <w:sz w:val="20"/>
                <w:szCs w:val="20"/>
                <w:color w:val="auto"/>
              </w:rPr>
            </w:pPr>
            <w:r>
              <w:rPr>
                <w:rFonts w:ascii="Arial" w:cs="Arial" w:eastAsia="Arial" w:hAnsi="Arial"/>
                <w:sz w:val="14"/>
                <w:szCs w:val="14"/>
                <w:color w:val="auto"/>
                <w:w w:val="94"/>
              </w:rPr>
              <w:t>Trading Symbol(s)</w:t>
            </w:r>
          </w:p>
        </w:tc>
        <w:tc>
          <w:tcPr>
            <w:tcW w:w="3500" w:type="dxa"/>
            <w:vAlign w:val="bottom"/>
          </w:tcPr>
          <w:p>
            <w:pPr>
              <w:jc w:val="center"/>
              <w:ind w:left="88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020" w:type="dxa"/>
            <w:vAlign w:val="bottom"/>
          </w:tcPr>
          <w:p>
            <w:pPr>
              <w:jc w:val="center"/>
              <w:ind w:right="1068"/>
              <w:spacing w:after="0"/>
              <w:rPr>
                <w:sz w:val="20"/>
                <w:szCs w:val="20"/>
                <w:color w:val="auto"/>
              </w:rPr>
            </w:pPr>
            <w:r>
              <w:rPr>
                <w:rFonts w:ascii="Arial" w:cs="Arial" w:eastAsia="Arial" w:hAnsi="Arial"/>
                <w:sz w:val="14"/>
                <w:szCs w:val="14"/>
                <w:color w:val="auto"/>
                <w:w w:val="92"/>
              </w:rPr>
              <w:t>Common Stock, $1.00 Par Value</w:t>
            </w:r>
          </w:p>
        </w:tc>
        <w:tc>
          <w:tcPr>
            <w:tcW w:w="3180" w:type="dxa"/>
            <w:vAlign w:val="bottom"/>
          </w:tcPr>
          <w:p>
            <w:pPr>
              <w:jc w:val="center"/>
              <w:ind w:left="68"/>
              <w:spacing w:after="0"/>
              <w:rPr>
                <w:sz w:val="20"/>
                <w:szCs w:val="20"/>
                <w:color w:val="auto"/>
              </w:rPr>
            </w:pPr>
            <w:r>
              <w:rPr>
                <w:rFonts w:ascii="Arial" w:cs="Arial" w:eastAsia="Arial" w:hAnsi="Arial"/>
                <w:sz w:val="14"/>
                <w:szCs w:val="14"/>
                <w:color w:val="auto"/>
              </w:rPr>
              <w:t>FLXS</w:t>
            </w:r>
          </w:p>
        </w:tc>
        <w:tc>
          <w:tcPr>
            <w:tcW w:w="3500" w:type="dxa"/>
            <w:vAlign w:val="bottom"/>
          </w:tcPr>
          <w:p>
            <w:pPr>
              <w:jc w:val="center"/>
              <w:ind w:left="88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40575"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146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type w:val="continuous"/>
        </w:sectPr>
      </w:pPr>
    </w:p>
    <w:bookmarkStart w:id="1" w:name="page2"/>
    <w:bookmarkEnd w:id="1"/>
    <w:p>
      <w:pPr>
        <w:ind w:right="1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5" w:lineRule="exact"/>
        <w:rPr>
          <w:sz w:val="20"/>
          <w:szCs w:val="20"/>
          <w:color w:val="auto"/>
        </w:rPr>
      </w:pPr>
    </w:p>
    <w:p>
      <w:pPr>
        <w:ind w:right="60" w:firstLine="8"/>
        <w:spacing w:after="0" w:line="235" w:lineRule="auto"/>
        <w:tabs>
          <w:tab w:leader="none" w:pos="5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Effective December 21, 2021, the Board of Directors (the “Board”) of Flexsteel Industries, Inc. (the “Company”) appointed Michael Scott Culbreth to the Board. Mr. Culbreth will serve as a Class III director, which class will stand for re-election at the 2022 annual meeting of the shareholders. Mr. Culbreth was appointed as a member of the Board’s Compensation Committee and the Board’s Audit Committee.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Mr. Culbreth will participate in the Company’s non-executive director compensation program. Pursuant to this program, Mr. Culbreth will receive:</w:t>
      </w:r>
    </w:p>
    <w:p>
      <w:pPr>
        <w:spacing w:after="0" w:line="21" w:lineRule="exact"/>
        <w:rPr>
          <w:sz w:val="20"/>
          <w:szCs w:val="20"/>
          <w:color w:val="auto"/>
        </w:rPr>
      </w:pPr>
    </w:p>
    <w:p>
      <w:pPr>
        <w:ind w:right="100" w:firstLine="8"/>
        <w:spacing w:after="0" w:line="228"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annual retainer of $55,000 for service as a Board member, and (ii) a quarterly stock grant with a value of $17,500, rounded to the nearest share, with no additional vesting requirements. Mr. Culbreth will also receive an annual retainer of $5,000 for service as a member of the Compensation Committee and will also receive an annual retainer of $7,500 for service as a member of the Audit Committee.</w:t>
      </w:r>
    </w:p>
    <w:p>
      <w:pPr>
        <w:spacing w:after="0" w:line="150" w:lineRule="exact"/>
        <w:rPr>
          <w:sz w:val="20"/>
          <w:szCs w:val="20"/>
          <w:color w:val="auto"/>
        </w:rPr>
      </w:pPr>
    </w:p>
    <w:p>
      <w:pPr>
        <w:ind w:right="20" w:firstLine="492"/>
        <w:spacing w:after="0" w:line="231" w:lineRule="auto"/>
        <w:rPr>
          <w:sz w:val="20"/>
          <w:szCs w:val="20"/>
          <w:color w:val="auto"/>
        </w:rPr>
      </w:pPr>
      <w:r>
        <w:rPr>
          <w:rFonts w:ascii="Arial" w:cs="Arial" w:eastAsia="Arial" w:hAnsi="Arial"/>
          <w:sz w:val="18"/>
          <w:szCs w:val="18"/>
          <w:color w:val="auto"/>
        </w:rPr>
        <w:t>Since the beginning of the Company’s last fiscal year through the present, there have been no transactions with the Company, and there are currently no proposed transactions with the Company, in which the amount involved exceeds $120,000 and in which Mr. Culbreth had or will have a direct or indirect material interest within the meaning of Item 404(a) of Regulation S-K. No arrangement or understanding exists between Mr. Culbreth and any other person pursuant to which he was appointed as a director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4"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On December 22, 2021, the Company issued a press release announcing the appointment of Mr. Culbreth to the Board of the Company. A copy of the press release is furnished as Exhibit 99.1 and is incorporated herein by reference.</w:t>
      </w:r>
    </w:p>
    <w:p>
      <w:pPr>
        <w:spacing w:after="0" w:line="170" w:lineRule="exact"/>
        <w:rPr>
          <w:sz w:val="20"/>
          <w:szCs w:val="20"/>
          <w:color w:val="auto"/>
        </w:rPr>
      </w:pPr>
    </w:p>
    <w:p>
      <w:pPr>
        <w:ind w:right="80" w:firstLine="440"/>
        <w:spacing w:after="0" w:line="253" w:lineRule="auto"/>
        <w:rPr>
          <w:sz w:val="20"/>
          <w:szCs w:val="20"/>
          <w:color w:val="auto"/>
        </w:rPr>
      </w:pPr>
      <w:r>
        <w:rPr>
          <w:rFonts w:ascii="Arial" w:cs="Arial" w:eastAsia="Arial" w:hAnsi="Arial"/>
          <w:sz w:val="17"/>
          <w:szCs w:val="17"/>
          <w:color w:val="auto"/>
        </w:rPr>
        <w:t>The information in this Item 7.01, including Exhibit 99.1 attached hereto, is intended to be furnished and shall not be deemed “filed” for purposes of Section 18 of the Exchange Act, or otherwise subject to the liabilities of that section, nor shall it be incorporated by reference into any filing under the Securities Act of 1933, as amended, or the Exchange Act, except as expressly set forth by specific reference in such filing.</w:t>
      </w:r>
    </w:p>
    <w:p>
      <w:pPr>
        <w:spacing w:after="0" w:line="3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200" w:type="dxa"/>
            <w:vAlign w:val="bottom"/>
          </w:tcPr>
          <w:p>
            <w:pPr>
              <w:spacing w:after="0"/>
              <w:rPr>
                <w:sz w:val="17"/>
                <w:szCs w:val="17"/>
                <w:color w:val="auto"/>
              </w:rPr>
            </w:pPr>
          </w:p>
        </w:tc>
        <w:tc>
          <w:tcPr>
            <w:tcW w:w="6740" w:type="dxa"/>
            <w:vAlign w:val="bottom"/>
            <w:gridSpan w:val="4"/>
          </w:tcPr>
          <w:p>
            <w:pPr>
              <w:ind w:left="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200" w:type="dxa"/>
            <w:vAlign w:val="bottom"/>
          </w:tcPr>
          <w:p>
            <w:pPr>
              <w:spacing w:after="0"/>
              <w:rPr>
                <w:sz w:val="24"/>
                <w:szCs w:val="24"/>
                <w:color w:val="auto"/>
              </w:rPr>
            </w:pPr>
          </w:p>
        </w:tc>
        <w:tc>
          <w:tcPr>
            <w:tcW w:w="6740" w:type="dxa"/>
            <w:vAlign w:val="bottom"/>
            <w:gridSpan w:val="4"/>
          </w:tcPr>
          <w:p>
            <w:pPr>
              <w:ind w:left="220"/>
              <w:spacing w:after="0"/>
              <w:rPr>
                <w:rFonts w:ascii="Arial" w:cs="Arial" w:eastAsia="Arial" w:hAnsi="Arial"/>
                <w:sz w:val="18"/>
                <w:szCs w:val="18"/>
                <w:color w:val="0000FF"/>
              </w:rPr>
            </w:pPr>
            <w:hyperlink w:anchor="page3">
              <w:r>
                <w:rPr>
                  <w:rFonts w:ascii="Arial" w:cs="Arial" w:eastAsia="Arial" w:hAnsi="Arial"/>
                  <w:sz w:val="18"/>
                  <w:szCs w:val="18"/>
                  <w:color w:val="0000FF"/>
                </w:rPr>
                <w:t>Press Release by Flexsteel Industries, Inc. dated December 22, 2021</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3" w:lineRule="exact"/>
        <w:rPr>
          <w:sz w:val="20"/>
          <w:szCs w:val="20"/>
          <w:color w:val="auto"/>
        </w:rPr>
      </w:pPr>
    </w:p>
    <w:p>
      <w:pPr>
        <w:ind w:left="6600"/>
        <w:spacing w:after="0"/>
        <w:rPr>
          <w:sz w:val="20"/>
          <w:szCs w:val="20"/>
          <w:color w:val="auto"/>
        </w:rPr>
      </w:pPr>
      <w:r>
        <w:rPr>
          <w:rFonts w:ascii="Arial" w:cs="Arial" w:eastAsia="Arial" w:hAnsi="Arial"/>
          <w:sz w:val="18"/>
          <w:szCs w:val="18"/>
          <w:b w:val="1"/>
          <w:bCs w:val="1"/>
          <w:u w:val="single" w:color="auto"/>
          <w:color w:val="auto"/>
        </w:rPr>
        <w:t>FLEXSTEEL INDUSTRIES, INC.</w:t>
      </w:r>
    </w:p>
    <w:p>
      <w:pPr>
        <w:spacing w:after="0" w:line="9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(Registrant)</w:t>
      </w:r>
    </w:p>
    <w:p>
      <w:pPr>
        <w:spacing w:after="0" w:line="171" w:lineRule="exact"/>
        <w:rPr>
          <w:sz w:val="20"/>
          <w:szCs w:val="20"/>
          <w:color w:val="auto"/>
        </w:rPr>
      </w:pPr>
    </w:p>
    <w:p>
      <w:pPr>
        <w:spacing w:after="0"/>
        <w:tabs>
          <w:tab w:leader="none" w:pos="6660" w:val="left"/>
        </w:tabs>
        <w:rPr>
          <w:sz w:val="20"/>
          <w:szCs w:val="20"/>
          <w:color w:val="auto"/>
        </w:rPr>
      </w:pPr>
      <w:r>
        <w:rPr>
          <w:rFonts w:ascii="Arial" w:cs="Arial" w:eastAsia="Arial" w:hAnsi="Arial"/>
          <w:sz w:val="18"/>
          <w:szCs w:val="18"/>
          <w:color w:val="auto"/>
        </w:rPr>
        <w:t>Date: December 22, 2021</w:t>
      </w:r>
      <w:r>
        <w:rPr>
          <w:sz w:val="20"/>
          <w:szCs w:val="20"/>
          <w:color w:val="auto"/>
        </w:rPr>
        <w:tab/>
      </w:r>
      <w:r>
        <w:rPr>
          <w:rFonts w:ascii="Arial" w:cs="Arial" w:eastAsia="Arial" w:hAnsi="Arial"/>
          <w:sz w:val="16"/>
          <w:szCs w:val="16"/>
          <w:color w:val="auto"/>
        </w:rPr>
        <w:t>By:/s/ Derek P. Schmidt</w:t>
      </w:r>
    </w:p>
    <w:p>
      <w:pPr>
        <w:spacing w:after="0" w:line="2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Derek P.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-120650</wp:posOffset>
            </wp:positionV>
            <wp:extent cx="273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ind w:left="6940"/>
        <w:spacing w:after="0"/>
        <w:rPr>
          <w:sz w:val="20"/>
          <w:szCs w:val="20"/>
          <w:color w:val="auto"/>
        </w:rPr>
      </w:pPr>
      <w:r>
        <w:rPr>
          <w:rFonts w:ascii="Arial" w:cs="Arial" w:eastAsia="Arial" w:hAnsi="Arial"/>
          <w:sz w:val="18"/>
          <w:szCs w:val="18"/>
          <w:color w:val="auto"/>
        </w:rPr>
        <w:t>Chief Financial Officer and Chief Operating Officer</w:t>
      </w:r>
    </w:p>
    <w:p>
      <w:pPr>
        <w:sectPr>
          <w:pgSz w:w="11900" w:h="16838" w:orient="portrait"/>
          <w:cols w:equalWidth="0" w:num="1">
            <w:col w:w="11220"/>
          </w:cols>
          <w:pgMar w:left="320" w:top="121"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309360" cy="900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9360" cy="90043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44444"/>
        </w:rPr>
        <w:t>Flexsteel Industries Appoints M. Scott Culbreth</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44444"/>
        </w:rPr>
        <w:t>to its Board of Directors</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DUBUQUE, Iowa – December 22, 2021 – Flexsteel Industries, Inc. (NASDAQ:FLXS) (“Flexsteel” or the “Company”), one of the largest manufacturers, importers, and online marketers of furniture products in the United States, announced today the appointment of M. Scott Culbreth as an independent director of the Company effective December 21, 2021.</w:t>
      </w:r>
    </w:p>
    <w:p>
      <w:pPr>
        <w:spacing w:after="0" w:line="2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Mr. Culbreth is a results-driven executive with a strong foundational career in finance and accounting. He has a broad industry background including the consumer energy sector, automotive, and durable consumer goods, and has served in various roles at companies including Newell Brands, Robert Bosch Corporation, and Shell, and is currently the CEO at American Woodmark.</w:t>
      </w:r>
    </w:p>
    <w:p>
      <w:pPr>
        <w:spacing w:after="0" w:line="150"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are very fortunate to have Scott join our Board of Directors. His human capital management, organizational transformation, innovation, and finance experience will be invaluable as we execute our plan to better serve our customers, generate profitable growth, and improve shareholder returns,” said Flexsteel Chairman Thomas M. Levine. “Scott’s background and experience gives us confidence that he will be a great addition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-522605</wp:posOffset>
            </wp:positionV>
            <wp:extent cx="630936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514350"/>
                    </a:xfrm>
                    <a:prstGeom prst="rect">
                      <a:avLst/>
                    </a:prstGeom>
                    <a:noFill/>
                  </pic:spPr>
                </pic:pic>
              </a:graphicData>
            </a:graphic>
          </wp:anchor>
        </w:drawing>
      </w:r>
    </w:p>
    <w:p>
      <w:pPr>
        <w:spacing w:after="0" w:line="27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Flexsteel CEO Jerry Dittmer added, “I am excited to have Scott join the Flexsteel Board of Directors. He has a distinct set of skills and experiences that will help us continue executing a winning strategy to accelerate the potential of Flexsteel. His background and experience in consumer durable goods and his business and executive experience and leadership skills will be valuable assets to our Board. I’m looking forward to his guidance and working closely with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-522605</wp:posOffset>
            </wp:positionV>
            <wp:extent cx="630936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51435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Background of M. Scott Culbreth</w:t>
      </w:r>
    </w:p>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 Scott Culbreth currently serves as the president and chief executive officer for American Woodmark. He joined the company in 2014 as the senior vice president and chief financial officer and was promoted to CEO and joined the Board of Directors in 2020. Prior to American Woodmark, Mr. Culbreth served as the chief financial officer at Piedmont Hardware Brands from 2013 to 2014 and held various finance-related roles at Newell Brands from 2007-2013. He began his career with Shell Oil Company and developed his international operational skills with Robert Bosch Corporation where he held various financial roles with increasing responsibility. He is currently a member of the Board of Directors at American Woodmark and serves as a member of the Pamplin Finance Advisory Board at Virginia Tech. Mr. Culbreth holds a bachelor’s degree in finance from Virginia Tech and an MBA from Washington University in St. Louis.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Flexsteel</w:t>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Flexsteel Industries, Inc., and Subsidiaries (the “Company”) is one of the largest manufacturers, importers and online marketers of furniture products in the United States. Product offerings include a wide variety of furniture such as sofas, loveseats, chairs, reclining and rocker-reclining chairs, swivel rockers, sofa beds, convertible bedding units, occasional tables, desks, dining tables and chairs, and bedroom furniture. A featured component in most of the upholstered furniture is a unique steel drop-in seat spring from which the name “Flexsteel” is derived. The Company distributes its products throughout the United States through its eCommerce channel and direct sales force.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our website at http://www.flexsteel.com.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Derek Schmidt, Flexsteel Industries 563.585.8383</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investors@flexsteel.com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412115</wp:posOffset>
            </wp:positionV>
            <wp:extent cx="635190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940"/>
      </w:cols>
      <w:pgMar w:left="980" w:top="108"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2021-12-22T11:37:01Z</dcterms:created>
  <dcterms:modified xsi:type="dcterms:W3CDTF">2021-12-22T11:37:01Z</dcterms:modified>
</cp:coreProperties>
</file>